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6768"/>
        <w:gridCol w:w="2160"/>
        <w:tblGridChange w:id="0">
          <w:tblGrid>
            <w:gridCol w:w="2160"/>
            <w:gridCol w:w="6768"/>
            <w:gridCol w:w="2160"/>
          </w:tblGrid>
        </w:tblGridChange>
      </w:tblGrid>
      <w:tr>
        <w:trPr>
          <w:cantSplit w:val="0"/>
          <w:tblHeader w:val="0"/>
        </w:trPr>
        <w:tc>
          <w:tcPr>
            <w:vAlign w:val="top"/>
          </w:tcPr>
          <w:p w:rsidR="00000000" w:rsidDel="00000000" w:rsidP="00000000" w:rsidRDefault="00000000" w:rsidRPr="00000000" w14:paraId="00000002">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Pr>
              <w:drawing>
                <wp:inline distB="0" distT="0" distL="114300" distR="114300">
                  <wp:extent cx="1054100" cy="1053465"/>
                  <wp:effectExtent b="0" l="0" r="0" t="0"/>
                  <wp:docPr descr="aysologo" id="1026" name="image1.png"/>
                  <a:graphic>
                    <a:graphicData uri="http://schemas.openxmlformats.org/drawingml/2006/picture">
                      <pic:pic>
                        <pic:nvPicPr>
                          <pic:cNvPr descr="aysologo" id="0" name="image1.png"/>
                          <pic:cNvPicPr preferRelativeResize="0"/>
                        </pic:nvPicPr>
                        <pic:blipFill>
                          <a:blip r:embed="rId7"/>
                          <a:srcRect b="0" l="0" r="0" t="0"/>
                          <a:stretch>
                            <a:fillRect/>
                          </a:stretch>
                        </pic:blipFill>
                        <pic:spPr>
                          <a:xfrm>
                            <a:off x="0" y="0"/>
                            <a:ext cx="1054100" cy="10534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ind w:left="1440" w:hanging="144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4">
            <w:pPr>
              <w:ind w:left="1440" w:hanging="144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24</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sz w:val="32"/>
                <w:szCs w:val="32"/>
                <w:vertAlign w:val="baseline"/>
                <w:rtl w:val="0"/>
              </w:rPr>
              <w:t xml:space="preserve"> Annual PANTHER SHOOTOUT Tournament</w:t>
            </w:r>
            <w:r w:rsidDel="00000000" w:rsidR="00000000" w:rsidRPr="00000000">
              <w:rPr>
                <w:rtl w:val="0"/>
              </w:rPr>
            </w:r>
          </w:p>
          <w:p w:rsidR="00000000" w:rsidDel="00000000" w:rsidP="00000000" w:rsidRDefault="00000000" w:rsidRPr="00000000" w14:paraId="00000006">
            <w:pPr>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Team Invitation</w:t>
            </w:r>
            <w:r w:rsidDel="00000000" w:rsidR="00000000" w:rsidRPr="00000000">
              <w:rPr>
                <w:rtl w:val="0"/>
              </w:rPr>
            </w:r>
          </w:p>
        </w:tc>
        <w:tc>
          <w:tcPr>
            <w:vAlign w:val="center"/>
          </w:tcPr>
          <w:p w:rsidR="00000000" w:rsidDel="00000000" w:rsidP="00000000" w:rsidRDefault="00000000" w:rsidRPr="00000000" w14:paraId="00000008">
            <w:pPr>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Hello, Coaches!</w:t>
      </w: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spacing w:after="12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AYSO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Region 42 is proud to invite your team to the 24</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vertAlign w:val="baseline"/>
          <w:rtl w:val="0"/>
        </w:rPr>
        <w:t xml:space="preserve"> Annual Panther Shootout Tournament</w:t>
      </w:r>
      <w:r w:rsidDel="00000000" w:rsidR="00000000" w:rsidRPr="00000000">
        <w:rPr>
          <w:rtl w:val="0"/>
        </w:rPr>
      </w:r>
    </w:p>
    <w:tbl>
      <w:tblPr>
        <w:tblStyle w:val="Table2"/>
        <w:tblW w:w="11016.0" w:type="dxa"/>
        <w:jc w:val="left"/>
        <w:tblInd w:w="0.0" w:type="dxa"/>
        <w:tblLayout w:type="fixed"/>
        <w:tblLook w:val="0000"/>
      </w:tblPr>
      <w:tblGrid>
        <w:gridCol w:w="1548"/>
        <w:gridCol w:w="9468"/>
        <w:tblGridChange w:id="0">
          <w:tblGrid>
            <w:gridCol w:w="1548"/>
            <w:gridCol w:w="9468"/>
          </w:tblGrid>
        </w:tblGridChange>
      </w:tblGrid>
      <w:tr>
        <w:trPr>
          <w:cantSplit w:val="0"/>
          <w:tblHeader w:val="0"/>
        </w:trPr>
        <w:tc>
          <w:tcPr>
            <w:vAlign w:val="top"/>
          </w:tcPr>
          <w:p w:rsidR="00000000" w:rsidDel="00000000" w:rsidP="00000000" w:rsidRDefault="00000000" w:rsidRPr="00000000" w14:paraId="0000000E">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Scope:</w:t>
            </w:r>
          </w:p>
        </w:tc>
        <w:tc>
          <w:tcPr>
            <w:vAlign w:val="top"/>
          </w:tcPr>
          <w:p w:rsidR="00000000" w:rsidDel="00000000" w:rsidP="00000000" w:rsidRDefault="00000000" w:rsidRPr="00000000" w14:paraId="0000000F">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AYSO Invitational – open to AYSO teams only from all Sections. Teams will be accepted based on Tournament needs, and priority will be given to teams comprised of Fall 202</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baseline"/>
                <w:rtl w:val="0"/>
              </w:rPr>
              <w:t xml:space="preserve"> core program players, either as intact core teams or tournament select teams.  AYSO United teams will not be accepted.</w:t>
            </w:r>
          </w:p>
        </w:tc>
      </w:tr>
      <w:tr>
        <w:trPr>
          <w:cantSplit w:val="0"/>
          <w:tblHeader w:val="0"/>
        </w:trPr>
        <w:tc>
          <w:tcPr>
            <w:vAlign w:val="top"/>
          </w:tcPr>
          <w:p w:rsidR="00000000" w:rsidDel="00000000" w:rsidP="00000000" w:rsidRDefault="00000000" w:rsidRPr="00000000" w14:paraId="00000010">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When:</w:t>
            </w:r>
          </w:p>
        </w:tc>
        <w:tc>
          <w:tcPr>
            <w:vAlign w:val="top"/>
          </w:tcPr>
          <w:p w:rsidR="00000000" w:rsidDel="00000000" w:rsidP="00000000" w:rsidRDefault="00000000" w:rsidRPr="00000000" w14:paraId="00000011">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Friday &amp; Saturday, November 25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and November 26</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2022 – Rain Date Sunday, November 27</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2022</w:t>
            </w:r>
          </w:p>
        </w:tc>
      </w:tr>
      <w:tr>
        <w:trPr>
          <w:cantSplit w:val="0"/>
          <w:tblHeader w:val="0"/>
        </w:trPr>
        <w:tc>
          <w:tcPr>
            <w:vAlign w:val="top"/>
          </w:tcPr>
          <w:p w:rsidR="00000000" w:rsidDel="00000000" w:rsidP="00000000" w:rsidRDefault="00000000" w:rsidRPr="00000000" w14:paraId="00000012">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Where:</w:t>
            </w:r>
          </w:p>
        </w:tc>
        <w:tc>
          <w:tcPr>
            <w:vAlign w:val="top"/>
          </w:tcPr>
          <w:p w:rsidR="00000000" w:rsidDel="00000000" w:rsidP="00000000" w:rsidRDefault="00000000" w:rsidRPr="00000000" w14:paraId="00000013">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tournament will be held at Peppertree Park in Newbury Park, California. There is no charge for parking. No pets are allowed at fields.</w:t>
            </w:r>
          </w:p>
        </w:tc>
      </w:tr>
      <w:tr>
        <w:trPr>
          <w:cantSplit w:val="0"/>
          <w:tblHeader w:val="0"/>
        </w:trPr>
        <w:tc>
          <w:tcPr>
            <w:vAlign w:val="top"/>
          </w:tcPr>
          <w:p w:rsidR="00000000" w:rsidDel="00000000" w:rsidP="00000000" w:rsidRDefault="00000000" w:rsidRPr="00000000" w14:paraId="00000014">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Who:</w:t>
            </w:r>
          </w:p>
        </w:tc>
        <w:tc>
          <w:tcPr>
            <w:vAlign w:val="top"/>
          </w:tcPr>
          <w:p w:rsidR="00000000" w:rsidDel="00000000" w:rsidP="00000000" w:rsidRDefault="00000000" w:rsidRPr="00000000" w14:paraId="00000015">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AYSO boys and girls teams in age divisions:14U (11v11) 15 players max. 12U (9v9) 12 players max. and 10U (7v7) 10 players max. All players must be registered to play in the AYSO 2022 primary season. Guest players will be allowed (3 maximum per team). </w:t>
            </w:r>
          </w:p>
        </w:tc>
      </w:tr>
      <w:tr>
        <w:trPr>
          <w:cantSplit w:val="0"/>
          <w:tblHeader w:val="0"/>
        </w:trPr>
        <w:tc>
          <w:tcPr>
            <w:vAlign w:val="top"/>
          </w:tcPr>
          <w:p w:rsidR="00000000" w:rsidDel="00000000" w:rsidP="00000000" w:rsidRDefault="00000000" w:rsidRPr="00000000" w14:paraId="00000016">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What:</w:t>
            </w:r>
          </w:p>
        </w:tc>
        <w:tc>
          <w:tcPr>
            <w:vAlign w:val="top"/>
          </w:tcPr>
          <w:p w:rsidR="00000000" w:rsidDel="00000000" w:rsidP="00000000" w:rsidRDefault="00000000" w:rsidRPr="00000000" w14:paraId="00000017">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Pool play tournament. Each team will be guaranteed 3 games. The top teams from pool play will advance to the medal round on Saturday afternoon. All pool play games will be as follows: (50 min. for 14U, 50 min for 12U, and 50 min for 10U). After each pool play game, each team takes part in the “Shootout” competition.</w:t>
            </w:r>
          </w:p>
        </w:tc>
      </w:tr>
      <w:tr>
        <w:trPr>
          <w:cantSplit w:val="0"/>
          <w:tblHeader w:val="0"/>
        </w:trPr>
        <w:tc>
          <w:tcPr>
            <w:vAlign w:val="top"/>
          </w:tcPr>
          <w:p w:rsidR="00000000" w:rsidDel="00000000" w:rsidP="00000000" w:rsidRDefault="00000000" w:rsidRPr="00000000" w14:paraId="00000018">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Why:</w:t>
            </w:r>
          </w:p>
        </w:tc>
        <w:tc>
          <w:tcPr>
            <w:vAlign w:val="top"/>
          </w:tcPr>
          <w:p w:rsidR="00000000" w:rsidDel="00000000" w:rsidP="00000000" w:rsidRDefault="00000000" w:rsidRPr="00000000" w14:paraId="00000019">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Panther Shootout Tournament is being conducted as a fundraiser by Region 42 to raise funds for Field Development, Equipment, Maintenance and Scholarship funds for youths in Region 42.</w:t>
            </w:r>
          </w:p>
        </w:tc>
      </w:tr>
      <w:tr>
        <w:trPr>
          <w:cantSplit w:val="0"/>
          <w:tblHeader w:val="0"/>
        </w:trPr>
        <w:tc>
          <w:tcPr>
            <w:vAlign w:val="top"/>
          </w:tcPr>
          <w:p w:rsidR="00000000" w:rsidDel="00000000" w:rsidP="00000000" w:rsidRDefault="00000000" w:rsidRPr="00000000" w14:paraId="0000001A">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Awards:</w:t>
            </w:r>
          </w:p>
        </w:tc>
        <w:tc>
          <w:tcPr>
            <w:vAlign w:val="top"/>
          </w:tcPr>
          <w:p w:rsidR="00000000" w:rsidDel="00000000" w:rsidP="00000000" w:rsidRDefault="00000000" w:rsidRPr="00000000" w14:paraId="0000001B">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players will receive a tournament pin. All players on the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vertAlign w:val="baseline"/>
                <w:rtl w:val="0"/>
              </w:rPr>
              <w:t xml:space="preserve"> &amp; 2</w:t>
            </w:r>
            <w:r w:rsidDel="00000000" w:rsidR="00000000" w:rsidRPr="00000000">
              <w:rPr>
                <w:rFonts w:ascii="Arial" w:cs="Arial" w:eastAsia="Arial" w:hAnsi="Arial"/>
                <w:sz w:val="20"/>
                <w:szCs w:val="20"/>
                <w:vertAlign w:val="superscript"/>
                <w:rtl w:val="0"/>
              </w:rPr>
              <w:t xml:space="preserve">nd </w:t>
            </w:r>
            <w:r w:rsidDel="00000000" w:rsidR="00000000" w:rsidRPr="00000000">
              <w:rPr>
                <w:rFonts w:ascii="Arial" w:cs="Arial" w:eastAsia="Arial" w:hAnsi="Arial"/>
                <w:sz w:val="20"/>
                <w:szCs w:val="20"/>
                <w:vertAlign w:val="baseline"/>
                <w:rtl w:val="0"/>
              </w:rPr>
              <w:t xml:space="preserve">place teams will receive a medal.  In divisions where there are 8 or more teams, medals will also be awarded to the 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vertAlign w:val="baseline"/>
                <w:rtl w:val="0"/>
              </w:rPr>
              <w:t xml:space="preserve"> and 4</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place teams. </w:t>
            </w:r>
          </w:p>
        </w:tc>
      </w:tr>
      <w:tr>
        <w:trPr>
          <w:cantSplit w:val="0"/>
          <w:tblHeader w:val="0"/>
        </w:trPr>
        <w:tc>
          <w:tcPr>
            <w:vAlign w:val="top"/>
          </w:tcPr>
          <w:p w:rsidR="00000000" w:rsidDel="00000000" w:rsidP="00000000" w:rsidRDefault="00000000" w:rsidRPr="00000000" w14:paraId="0000001C">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Entry Fee, Refunds:</w:t>
            </w:r>
          </w:p>
        </w:tc>
        <w:tc>
          <w:tcPr>
            <w:vAlign w:val="top"/>
          </w:tcPr>
          <w:p w:rsidR="00000000" w:rsidDel="00000000" w:rsidP="00000000" w:rsidRDefault="00000000" w:rsidRPr="00000000" w14:paraId="0000001D">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$550 for 14U, $525 for 12U, and $500 for 10U. A full refund will be issued if tournament is canceled and cannot be rescheduled. If a team withdraws 30 or more days before the tournament, a full refund is given. Within 30 days of the tournament, no refund is provided unless a replacement team is found.</w:t>
            </w:r>
          </w:p>
        </w:tc>
      </w:tr>
      <w:tr>
        <w:trPr>
          <w:cantSplit w:val="0"/>
          <w:tblHeader w:val="0"/>
        </w:trPr>
        <w:tc>
          <w:tcPr>
            <w:vAlign w:val="top"/>
          </w:tcPr>
          <w:p w:rsidR="00000000" w:rsidDel="00000000" w:rsidP="00000000" w:rsidRDefault="00000000" w:rsidRPr="00000000" w14:paraId="0000001E">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Referee Fee </w:t>
            </w:r>
          </w:p>
        </w:tc>
        <w:tc>
          <w:tcPr>
            <w:vAlign w:val="top"/>
          </w:tcPr>
          <w:p w:rsidR="00000000" w:rsidDel="00000000" w:rsidP="00000000" w:rsidRDefault="00000000" w:rsidRPr="00000000" w14:paraId="0000001F">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There is a $150 refundable referee fee per team. Each team must nominate three qualified referees using the referee nomination form. The referee fee will be refunded to teams after the tournament who submit three qualified referees and fulfill any assigned games.   </w:t>
            </w:r>
          </w:p>
        </w:tc>
      </w:tr>
      <w:tr>
        <w:trPr>
          <w:cantSplit w:val="0"/>
          <w:tblHeader w:val="0"/>
        </w:trPr>
        <w:tc>
          <w:tcPr>
            <w:vAlign w:val="top"/>
          </w:tcPr>
          <w:p w:rsidR="00000000" w:rsidDel="00000000" w:rsidP="00000000" w:rsidRDefault="00000000" w:rsidRPr="00000000" w14:paraId="00000020">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Rules:</w:t>
            </w:r>
          </w:p>
        </w:tc>
        <w:tc>
          <w:tcPr>
            <w:vAlign w:val="top"/>
          </w:tcPr>
          <w:p w:rsidR="00000000" w:rsidDel="00000000" w:rsidP="00000000" w:rsidRDefault="00000000" w:rsidRPr="00000000" w14:paraId="00000021">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full set of tournament rules is posted on the tournament website.</w:t>
            </w:r>
          </w:p>
        </w:tc>
      </w:tr>
      <w:tr>
        <w:trPr>
          <w:cantSplit w:val="0"/>
          <w:tblHeader w:val="0"/>
        </w:trPr>
        <w:tc>
          <w:tcPr>
            <w:vAlign w:val="top"/>
          </w:tcPr>
          <w:p w:rsidR="00000000" w:rsidDel="00000000" w:rsidP="00000000" w:rsidRDefault="00000000" w:rsidRPr="00000000" w14:paraId="00000022">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Acceptance:</w:t>
            </w:r>
          </w:p>
        </w:tc>
        <w:tc>
          <w:tcPr>
            <w:vAlign w:val="top"/>
          </w:tcPr>
          <w:p w:rsidR="00000000" w:rsidDel="00000000" w:rsidP="00000000" w:rsidRDefault="00000000" w:rsidRPr="00000000" w14:paraId="00000023">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teams that have submitted an application AND registration fee will be notified 30 days prior to the tournament of their status and any applications received after that date will be notified within 72 hours of their status. Teams that are not accepted will be given the option to have their registration fee returned or to be placed on the waiting list.</w:t>
            </w:r>
          </w:p>
        </w:tc>
      </w:tr>
      <w:tr>
        <w:trPr>
          <w:cantSplit w:val="0"/>
          <w:tblHeader w:val="0"/>
        </w:trPr>
        <w:tc>
          <w:tcPr>
            <w:vAlign w:val="top"/>
          </w:tcPr>
          <w:p w:rsidR="00000000" w:rsidDel="00000000" w:rsidP="00000000" w:rsidRDefault="00000000" w:rsidRPr="00000000" w14:paraId="00000024">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How:</w:t>
            </w:r>
          </w:p>
        </w:tc>
        <w:tc>
          <w:tcPr>
            <w:vAlign w:val="top"/>
          </w:tcPr>
          <w:p w:rsidR="00000000" w:rsidDel="00000000" w:rsidP="00000000" w:rsidRDefault="00000000" w:rsidRPr="00000000" w14:paraId="00000025">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Team entry applications and all necessary forms are available on the tournament website.</w:t>
              <w:br w:type="textWrapping"/>
              <w:t xml:space="preserve">Please send one Region check that covers the Entry fees, along with the tournament application, referee information form, and team roster to the Tournament Registrar address below. Regional Commissioner must sign application and team roster. Appropriate referee administrator must sign referee nomination form. See referee form for details.</w:t>
              <w:br w:type="textWrapping"/>
              <w:t xml:space="preserve">Make Region check payable to: AYSO Region 42</w:t>
            </w:r>
          </w:p>
        </w:tc>
      </w:tr>
      <w:tr>
        <w:trPr>
          <w:cantSplit w:val="0"/>
          <w:tblHeader w:val="0"/>
        </w:trPr>
        <w:tc>
          <w:tcPr>
            <w:vAlign w:val="top"/>
          </w:tcPr>
          <w:p w:rsidR="00000000" w:rsidDel="00000000" w:rsidP="00000000" w:rsidRDefault="00000000" w:rsidRPr="00000000" w14:paraId="00000026">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Address:</w:t>
            </w:r>
          </w:p>
        </w:tc>
        <w:tc>
          <w:tcPr>
            <w:vAlign w:val="top"/>
          </w:tcPr>
          <w:p w:rsidR="00000000" w:rsidDel="00000000" w:rsidP="00000000" w:rsidRDefault="00000000" w:rsidRPr="00000000" w14:paraId="00000027">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Panther Shootout Tournament</w:t>
              <w:br w:type="textWrapping"/>
              <w:t xml:space="preserve">PO Box 709</w:t>
              <w:br w:type="textWrapping"/>
              <w:t xml:space="preserve">Newbury Park, CA</w:t>
              <w:br w:type="textWrapping"/>
              <w:t xml:space="preserve">91319-0709</w:t>
            </w:r>
          </w:p>
        </w:tc>
      </w:tr>
      <w:tr>
        <w:trPr>
          <w:cantSplit w:val="0"/>
          <w:tblHeader w:val="0"/>
        </w:trPr>
        <w:tc>
          <w:tcPr>
            <w:vAlign w:val="top"/>
          </w:tcPr>
          <w:p w:rsidR="00000000" w:rsidDel="00000000" w:rsidP="00000000" w:rsidRDefault="00000000" w:rsidRPr="00000000" w14:paraId="00000028">
            <w:pPr>
              <w:tabs>
                <w:tab w:val="left" w:pos="1440"/>
              </w:tabs>
              <w:spacing w:after="1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Information:</w:t>
            </w:r>
          </w:p>
        </w:tc>
        <w:tc>
          <w:tcPr>
            <w:vAlign w:val="top"/>
          </w:tcPr>
          <w:p w:rsidR="00000000" w:rsidDel="00000000" w:rsidP="00000000" w:rsidRDefault="00000000" w:rsidRPr="00000000" w14:paraId="00000029">
            <w:pPr>
              <w:tabs>
                <w:tab w:val="left" w:pos="1440"/>
              </w:tabs>
              <w:spacing w:after="160" w:lineRule="auto"/>
              <w:rPr>
                <w:rFonts w:ascii="Arial" w:cs="Arial" w:eastAsia="Arial" w:hAnsi="Arial"/>
                <w:sz w:val="20"/>
                <w:szCs w:val="20"/>
                <w:vertAlign w:val="baseline"/>
              </w:rPr>
            </w:pPr>
            <w:bookmarkStart w:colFirst="0" w:colLast="0" w:name="_heading=h.gjdgxs" w:id="0"/>
            <w:bookmarkEnd w:id="0"/>
            <w:r w:rsidDel="00000000" w:rsidR="00000000" w:rsidRPr="00000000">
              <w:rPr>
                <w:rFonts w:ascii="Arial" w:cs="Arial" w:eastAsia="Arial" w:hAnsi="Arial"/>
                <w:sz w:val="20"/>
                <w:szCs w:val="20"/>
                <w:vertAlign w:val="baseline"/>
                <w:rtl w:val="0"/>
              </w:rPr>
              <w:t xml:space="preserve">C</w:t>
            </w:r>
            <w:r w:rsidDel="00000000" w:rsidR="00000000" w:rsidRPr="00000000">
              <w:rPr>
                <w:rFonts w:ascii="Arial" w:cs="Arial" w:eastAsia="Arial" w:hAnsi="Arial"/>
                <w:sz w:val="20"/>
                <w:szCs w:val="20"/>
                <w:rtl w:val="0"/>
              </w:rPr>
              <w:t xml:space="preserve">ontact person</w:t>
            </w:r>
            <w:r w:rsidDel="00000000" w:rsidR="00000000" w:rsidRPr="00000000">
              <w:rPr>
                <w:rFonts w:ascii="Arial" w:cs="Arial" w:eastAsia="Arial" w:hAnsi="Arial"/>
                <w:sz w:val="20"/>
                <w:szCs w:val="20"/>
                <w:vertAlign w:val="baseline"/>
                <w:rtl w:val="0"/>
              </w:rPr>
              <w:t xml:space="preserve">: Cian Hawkins (pronounced </w:t>
            </w:r>
            <w:r w:rsidDel="00000000" w:rsidR="00000000" w:rsidRPr="00000000">
              <w:rPr>
                <w:rFonts w:ascii="Arial" w:cs="Arial" w:eastAsia="Arial" w:hAnsi="Arial"/>
                <w:sz w:val="20"/>
                <w:szCs w:val="20"/>
                <w:rtl w:val="0"/>
              </w:rPr>
              <w:t xml:space="preserve">“KEY-an”)</w:t>
            </w:r>
            <w:r w:rsidDel="00000000" w:rsidR="00000000" w:rsidRPr="00000000">
              <w:rPr>
                <w:rFonts w:ascii="Arial" w:cs="Arial" w:eastAsia="Arial" w:hAnsi="Arial"/>
                <w:sz w:val="20"/>
                <w:szCs w:val="20"/>
                <w:vertAlign w:val="baseline"/>
                <w:rtl w:val="0"/>
              </w:rPr>
              <w:br w:type="textWrapping"/>
              <w:t xml:space="preserve">E-mail: Cian.Hawkins@aysoregion42.org</w:t>
              <w:br w:type="textWrapping"/>
              <w:t xml:space="preserve">Web site </w:t>
            </w:r>
            <w:hyperlink r:id="rId8">
              <w:r w:rsidDel="00000000" w:rsidR="00000000" w:rsidRPr="00000000">
                <w:rPr>
                  <w:rFonts w:ascii="Arial" w:cs="Arial" w:eastAsia="Arial" w:hAnsi="Arial"/>
                  <w:color w:val="0000ff"/>
                  <w:sz w:val="20"/>
                  <w:szCs w:val="20"/>
                  <w:u w:val="single"/>
                  <w:vertAlign w:val="baseline"/>
                  <w:rtl w:val="0"/>
                </w:rPr>
                <w:t xml:space="preserve">WWW.AYSOREGION42.ORG</w:t>
              </w:r>
            </w:hyperlink>
            <w:r w:rsidDel="00000000" w:rsidR="00000000" w:rsidRPr="00000000">
              <w:rPr>
                <w:rtl w:val="0"/>
              </w:rPr>
            </w:r>
          </w:p>
        </w:tc>
      </w:tr>
    </w:tbl>
    <w:p w:rsidR="00000000" w:rsidDel="00000000" w:rsidP="00000000" w:rsidRDefault="00000000" w:rsidRPr="00000000" w14:paraId="0000002A">
      <w:pPr>
        <w:rPr>
          <w:rFonts w:ascii="Arial" w:cs="Arial" w:eastAsia="Arial" w:hAnsi="Arial"/>
          <w:sz w:val="20"/>
          <w:szCs w:val="20"/>
          <w:vertAlign w:val="baseline"/>
        </w:rPr>
      </w:pPr>
      <w:r w:rsidDel="00000000" w:rsidR="00000000" w:rsidRPr="00000000">
        <w:rPr>
          <w:rtl w:val="0"/>
        </w:rPr>
      </w:r>
    </w:p>
    <w:sectPr>
      <w:pgSz w:h="15840" w:w="12240" w:orient="portrait"/>
      <w:pgMar w:bottom="66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sz w:val="20"/>
      <w:szCs w:val="20"/>
      <w:vertAlign w:val="baseline"/>
    </w:rPr>
  </w:style>
  <w:style w:type="paragraph" w:styleId="Heading4">
    <w:name w:val="heading 4"/>
    <w:basedOn w:val="Normal"/>
    <w:next w:val="Normal"/>
    <w:pPr>
      <w:keepNext w:val="1"/>
    </w:pPr>
    <w:rPr>
      <w:b w:val="1"/>
      <w:sz w:val="20"/>
      <w:szCs w:val="20"/>
      <w:vertAlign w:val="baseline"/>
    </w:rPr>
  </w:style>
  <w:style w:type="paragraph" w:styleId="Heading5">
    <w:name w:val="heading 5"/>
    <w:basedOn w:val="Normal"/>
    <w:next w:val="Normal"/>
    <w:pPr>
      <w:keepNext w:val="1"/>
    </w:pPr>
    <w:rPr>
      <w:rFonts w:ascii="Tahoma" w:cs="Tahoma" w:eastAsia="Tahoma" w:hAnsi="Tahoma"/>
      <w:b w:val="1"/>
      <w:sz w:val="24"/>
      <w:szCs w:val="24"/>
      <w:vertAlign w:val="baseline"/>
    </w:rPr>
  </w:style>
  <w:style w:type="paragraph" w:styleId="Heading6">
    <w:name w:val="heading 6"/>
    <w:basedOn w:val="Normal"/>
    <w:next w:val="Normal"/>
    <w:pPr>
      <w:keepNext w:val="1"/>
    </w:pPr>
    <w:rPr>
      <w:rFonts w:ascii="Tahoma" w:cs="Tahoma" w:eastAsia="Tahoma" w:hAnsi="Tahoma"/>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32"/>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0"/>
      <w:szCs w:val="20"/>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w w:val="100"/>
      <w:position w:val="-1"/>
      <w:sz w:val="20"/>
      <w:szCs w:val="20"/>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Tahoma" w:hAnsi="Tahoma"/>
      <w:b w:val="1"/>
      <w:w w:val="100"/>
      <w:position w:val="-1"/>
      <w:sz w:val="24"/>
      <w:szCs w:val="20"/>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framePr w:anchorLock="0" w:lines="0" w:hSpace="180" w:wrap="around" w:hAnchor="text" w:vAnchor="text" w:x="8969" w:y="44" w:hRule="auto"/>
      <w:suppressAutoHyphens w:val="1"/>
      <w:spacing w:line="1" w:lineRule="atLeast"/>
      <w:ind w:leftChars="-1" w:rightChars="0" w:firstLineChars="-1"/>
      <w:textDirection w:val="btLr"/>
      <w:textAlignment w:val="top"/>
      <w:outlineLvl w:val="5"/>
    </w:pPr>
    <w:rPr>
      <w:rFonts w:ascii="Tahoma" w:hAnsi="Tahoma"/>
      <w:b w:val="1"/>
      <w:w w:val="100"/>
      <w:position w:val="-1"/>
      <w:sz w:val="24"/>
      <w:szCs w:val="20"/>
      <w:effect w:val="none"/>
      <w:vertAlign w:val="baseline"/>
      <w:cs w:val="0"/>
      <w:em w:val="none"/>
      <w:lang w:bidi="ar-SA" w:eastAsia="en-US" w:val="fr-F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llamerican1776.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lYPfDp5IPGuhfoEc7CLUm/Hmiw==">AMUW2mUS1z+UYceDQUJ/KaIod24ucA/N6Ryn5AhgxgZo0ubx31kO4Sxotu7/2YtHTTTgLujTGkPn+u9GYEfqntX5/exjeA6nKIjIsZ30tOvrX/rKtcFZ65ghn/zYLB/bfXUA3soFLp0X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2018-11-22T20:56:00Z</dcterms:created>
  <dc:creator>Dan</dc:creator>
</cp:coreProperties>
</file>

<file path=docProps/custom.xml><?xml version="1.0" encoding="utf-8"?>
<Properties xmlns="http://schemas.openxmlformats.org/officeDocument/2006/custom-properties" xmlns:vt="http://schemas.openxmlformats.org/officeDocument/2006/docPropsVTypes"/>
</file>